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24"/>
          <w:highlight w:val="none"/>
        </w:rPr>
      </w:pPr>
      <w:r>
        <w:rPr>
          <w:rFonts w:hint="eastAsia" w:ascii="仿宋" w:hAnsi="仿宋" w:eastAsia="仿宋"/>
          <w:sz w:val="32"/>
          <w:szCs w:val="24"/>
          <w:highlight w:val="none"/>
        </w:rPr>
        <w:t>附件一、工程量清单</w:t>
      </w:r>
    </w:p>
    <w:tbl>
      <w:tblPr>
        <w:tblStyle w:val="7"/>
        <w:tblW w:w="15135" w:type="dxa"/>
        <w:tblInd w:w="-4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831"/>
        <w:gridCol w:w="454"/>
        <w:gridCol w:w="826"/>
        <w:gridCol w:w="861"/>
        <w:gridCol w:w="866"/>
        <w:gridCol w:w="1311"/>
        <w:gridCol w:w="1336"/>
        <w:gridCol w:w="599"/>
        <w:gridCol w:w="1089"/>
        <w:gridCol w:w="2446"/>
        <w:gridCol w:w="4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除税单价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含税单价</w:t>
            </w: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除税总价</w:t>
            </w: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总价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税率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计量规则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永久支护桩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泥浆护壁成孔灌注桩φ0.8m（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725.87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桩长按设计系梁（或承台）底高程-设计桩底高程计算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，以“m³”计量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混凝土材料及用量按图纸要求；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桩位清理、桩中心点位的维护及护桩的设置与维护。2.桩位范围内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操作平台。3.钢护筒制作及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。4.泥浆池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制作及拆除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，配置相应泥浆。5.成孔、清孔、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安装。6.混凝土灌注及养护。7.与成孔、灌注、配合桩检等相关的其他辅助工作。8.钻渣及泥浆的清理、弃运消纳等。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1.甲方提供施工便道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及桩基施工平台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，乙方将钻渣及泥浆弃运及消纳并达到环保要求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混凝土等主材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与完成本项内容的其他辅助材料如电费、泥浆制作材料、钢护筒及养护材料等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3.与完成本项内容的所有成孔、灌注等必需的桩机、震捣设备、导流、泥浆制作、抽排水、混凝土泵送等设备费用及燃油等费用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由乙方承担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钢筋笼制安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127.176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钢筋笼根据图纸所示及钢筋表（不包括固定、定位架立钢筋）所列，以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计量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钢筋材料及用量按照图纸；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钢筋除锈、调直等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钢筋笼制作、定位筋制安装，钢筋笼连接，吊装，就位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含材料场内运输，成品运至施工部位。4.成品保护，直至后续工序完成。5.其他相关的辅助工作。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.钢筋主材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与完成本项内容的其他所有辅材（如焊料、绑扎材料、连接套筒等）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与完成本项内容的所有制作、运输及安装设备（如吊车）、设备进出场等所有设备费用及相关的电力、燃油等费用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.乙方承担所有费用均包含在单价中。4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工程量核定：吊筋、定位筋不予计量。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桩头破除及外弃φ0.8m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破除混凝土桩头，破除后标高满足设计标高要求，将桩头外弃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桩头破除及外弃、消纳等所有费用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均包含在单价中；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临时支护桩（钻孔灌注桩+钢格构柱）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泥浆护壁成孔灌注桩φ1m（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39.25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桩长按设计系梁（或承台）底高程-设计桩底高程计算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，以“m³”计量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混凝土材料及用量按图纸要求；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桩位清理、桩中心点位的维护及护桩的设置与维护。2.桩位范围内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操作平台。3.钢护筒制作及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。4.泥浆池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制作及拆除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，配置相应泥浆。5.成孔、清孔、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安装。6.混凝土灌注及养护。7.与成孔、灌注、配合桩检等相关的其他辅助工作。8.钻渣及泥浆的清理、弃运消纳等。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1.甲方提供施工便道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及桩基施工平台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，乙方将钻渣及泥浆弃运及消纳并达到环保要求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混凝土等主材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与完成本项内容的其他辅助材料如电费、泥浆制作材料、钢护筒及养护材料等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3.与完成本项内容的所有成孔、灌注等必需的桩机、震捣设备、导流、泥浆制作、抽排水、混凝土泵送等设备费用及燃油等费用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由乙方承担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钢筋笼制安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钢筋笼根据图纸所示及钢筋表（不包括固定、定位架立钢筋）所列，以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钢筋材料及用量按照图纸；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钢筋除锈、调直等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钢筋笼制作、定位筋制安装，钢筋笼连接，吊装，就位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含材料场内运输，成品运至施工部位。4.成品保护，直至后续工序完成。5.其他相关的辅助工作。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.钢筋主材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与完成本项内容的其他所有辅材（如焊料、绑扎材料、连接套筒等）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与完成本项内容的所有制作、运输及安装设备（如吊车）、设备进出场等所有设备费用及相关的电力、燃油等费用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.乙方承担所有费用均包含在单价中。4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工程量核定：吊筋、定位筋不予计量。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桩头破除及外弃φ1m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破除混凝土桩头，破除后标高满足设计标高要求，将桩头外弃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桩头破除及外弃、消纳等所有费用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均包含在单价中；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格构柱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14.64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以“t”计量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1.材料准备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格构柱按设计图纸制作安装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，吊装，就位。3.运输：含材料场内运输，成品运至施工部位。4.成品保护，直至后续工序完成。5.其他相关的辅助工作。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（含残值回收）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.格构柱主材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与完成本项内容的其他所有辅材（如焊料等）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与完成本项内容的所有制作、运输及安装设备（如吊车）、设备进出场等所有设备费用及相关的电力、燃油等费用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高压旋喷桩（止水帷幕）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高压水泥旋喷桩（实桩）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1.桩基就位，水泥浆制作，双管高压旋喷施工；2.水泥强度≥42.5mpa,每立方米被加固土体中水泥掺量≥630kg；3.符合设计及甲方要求。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.水泥主材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（水、电、外加剂等）费用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与完成本项内容的所有制作、运输及安装设备（如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钻机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联系梁土方、桩间土方、临时立柱回填砂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人工挖一般土方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（冠梁、系梁）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37.27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1.人工挖土方，符合设计及甲方要求</w:t>
            </w:r>
          </w:p>
        </w:tc>
        <w:tc>
          <w:tcPr>
            <w:tcW w:w="40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1.与完成本项工作内容有关的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所有费用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均包含在单价中；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机械挖一般土方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（冠梁、系梁）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335.47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挖土方，符合设计及甲方要求</w:t>
            </w:r>
          </w:p>
        </w:tc>
        <w:tc>
          <w:tcPr>
            <w:tcW w:w="40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人工挖一般土方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（桩间）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17.01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1.人工挖土方，符合设计及甲方要求</w:t>
            </w:r>
          </w:p>
        </w:tc>
        <w:tc>
          <w:tcPr>
            <w:tcW w:w="40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机械挖一般土方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（桩间）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153.11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挖土方，符合设计及甲方要求</w:t>
            </w:r>
          </w:p>
        </w:tc>
        <w:tc>
          <w:tcPr>
            <w:tcW w:w="40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土方外运及消纳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1274.62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1.土方外运，符合甲方要求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桩头破除及外弃、消纳等所有费用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均包含在单价中；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临时立柱回填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中粗砂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47.89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1.中粗砂回填，符合设计及甲方要求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.中粗砂主材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冠梁、支撑梁、系梁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混凝土基础梁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372.75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基础梁：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1m*1m冠梁，0.8m*0.8m支撑梁，0.6m*0.6m系梁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；混凝土施工按设计图纸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支模、浇筑、振捣及养护及其他相关辅助工作，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.商品混凝土等主材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（水、电、模板、脱模剂等）费用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63.801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钢筋材料及用量按设计图纸，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钢筋除锈、调直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钢筋制作安装，就位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含材料场内运输。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.钢筋主材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（电等）费用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围护桩挂网喷砼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喷射混凝土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10cm厚C20砼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867.66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10cm厚C20喷射混凝土施工，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.商品混凝土等主材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（水、电等）费用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（含植筋）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0.364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∅16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土钉制作安装；钻孔植筋；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.土钉主材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（植筋胶、电等）费用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钢筋网片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3.309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钢筋网片焊接制作安装；含材料场内运输；材料型号及用量用量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.钢筋主材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（焊条、电等）费用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边坡挂网喷砼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喷射混凝土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10cm厚C20砼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721.8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10cm厚C20喷射混凝土施工，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.商品混凝土等主材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（水、电等）费用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0.696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土钉制作安装；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.土钉主材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（电等）费用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网片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4.782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钢筋网片焊接制作安装；含材料场内运输；材料型号及用量用量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.钢筋主材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与完成本项内容的其他所有辅材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（焊条、电等）费用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均由乙方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与完成本项内容的所有制作、运输及安装设备、设备进出场等所有设备费用及相关的电力、燃油等费用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钢柱拆除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1.钢柱拆除，符合设计及甲方要求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的所有设备费用及相关的电力、燃油等费用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由乙方承担；2.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拆除混凝土结构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并外弃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20.26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1.混凝土结构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拆除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并外弃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的所有设备费用及相关的电力、燃油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、消纳费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由乙方承担；2.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拆除混凝土结构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并外弃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182.37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1.混凝土结构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拆除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并外弃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的所有设备费用及相关的电力、燃油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、消纳费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由乙方承担；2.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并外弃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170.12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”计量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1.混凝土结构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拆除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并外弃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，符合设计及甲方要求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的所有设备费用及相关的电力、燃油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、消纳费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由乙方承担；2.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乙方承担所有费用均包含在单价中。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13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说明：1.本工程量清单中的工程量均为暂估量，结算时以甲方确认的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实际施工完成的工程量为准；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2.箱涵基坑支护施工中不分桩深、地质条件、岩石类别、入岩深度等因素，均执行本清单中的单价；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3.实际施工应采用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冲击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钻施工，如施工方式改变，甲乙双方需签订补充协议，重新定价。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4.与完成本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清单工作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内容的所有管理人员、技术人员、劳务人员及安全等辅助用工的费用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与完成本项内容的乙方所有管理费、利润、税金、风险等费用及由乙方承担的所有费用均包含在单价中。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NTA3NzY2YzI2ODA1MDE2NjZlYmZiNTY5ZmUxMzYifQ=="/>
  </w:docVars>
  <w:rsids>
    <w:rsidRoot w:val="00000000"/>
    <w:rsid w:val="7D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rFonts w:ascii="宋体"/>
      <w:sz w:val="24"/>
      <w:szCs w:val="20"/>
    </w:rPr>
  </w:style>
  <w:style w:type="paragraph" w:styleId="3">
    <w:name w:val="Body Text Indent"/>
    <w:basedOn w:val="1"/>
    <w:qFormat/>
    <w:uiPriority w:val="0"/>
    <w:pPr>
      <w:ind w:left="718" w:leftChars="342" w:firstLine="182" w:firstLineChars="65"/>
    </w:pPr>
    <w:rPr>
      <w:rFonts w:ascii="Calibri" w:hAnsi="Calibri"/>
      <w:sz w:val="28"/>
    </w:rPr>
  </w:style>
  <w:style w:type="paragraph" w:styleId="4">
    <w:name w:val="Plain Text"/>
    <w:basedOn w:val="1"/>
    <w:link w:val="10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locked/>
    <w:uiPriority w:val="99"/>
    <w:rPr>
      <w:sz w:val="18"/>
      <w:szCs w:val="18"/>
    </w:rPr>
  </w:style>
  <w:style w:type="character" w:customStyle="1" w:styleId="10">
    <w:name w:val="纯文本 字符"/>
    <w:link w:val="4"/>
    <w:qFormat/>
    <w:locked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2023-03-23T08:04:22Z</dcterms:created>
  <dc:creator>PC</dc:creator>
  <cp:lastModifiedBy>李怀生</cp:lastModifiedBy>
  <dcterms:modified xsi:type="dcterms:W3CDTF">2023-03-23T08:04:43Z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0558E06C45014ACCACB8F0DD6C64DB85</vt:lpwstr>
  </property>
</Properties>
</file>